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3645C" w:rsidRPr="00794234" w:rsidTr="00826E32">
        <w:tc>
          <w:tcPr>
            <w:tcW w:w="4814" w:type="dxa"/>
          </w:tcPr>
          <w:p w:rsidR="0003645C" w:rsidRPr="00A53692" w:rsidRDefault="0003645C" w:rsidP="00826E32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1, 2, 4, 5, 6, 7, 8, 13, 15</w:t>
            </w:r>
            <w:bookmarkStart w:id="0" w:name="_GoBack"/>
            <w:bookmarkEnd w:id="0"/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Professionisti senza Frontiere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FOCSIV – Giusy Fiorillo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COMI, CPS,CVM, Movimento Shalom AIA, ENEA, Regione Marche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11/01/2017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18 mesi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03645C" w:rsidRDefault="0003645C" w:rsidP="00826E32">
            <w:proofErr w:type="spellStart"/>
            <w:r>
              <w:rPr>
                <w:rFonts w:ascii="Trebuchet MS" w:hAnsi="Trebuchet MS"/>
              </w:rPr>
              <w:t>Kaffrine</w:t>
            </w:r>
            <w:proofErr w:type="spellEnd"/>
            <w:r>
              <w:rPr>
                <w:rFonts w:ascii="Trebuchet MS" w:hAnsi="Trebuchet MS"/>
              </w:rPr>
              <w:t xml:space="preserve"> - Senegal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03645C" w:rsidRDefault="0003645C" w:rsidP="00826E32">
            <w:pPr>
              <w:jc w:val="both"/>
              <w:rPr>
                <w:sz w:val="24"/>
                <w:szCs w:val="24"/>
              </w:rPr>
            </w:pPr>
            <w:r w:rsidRPr="00D348F8">
              <w:rPr>
                <w:sz w:val="24"/>
                <w:szCs w:val="24"/>
              </w:rPr>
              <w:t xml:space="preserve">La regione di </w:t>
            </w:r>
            <w:proofErr w:type="spellStart"/>
            <w:r w:rsidRPr="00D348F8">
              <w:rPr>
                <w:sz w:val="24"/>
                <w:szCs w:val="24"/>
              </w:rPr>
              <w:t>Kaffrine</w:t>
            </w:r>
            <w:proofErr w:type="spellEnd"/>
            <w:r w:rsidRPr="00D348F8">
              <w:rPr>
                <w:sz w:val="24"/>
                <w:szCs w:val="24"/>
              </w:rPr>
              <w:t xml:space="preserve">, a vocazione agricola, è caratterizzata da problemi di cattiva qualità delle sementi, mancanza di conoscenza di programmi di coltivazione e obsolescenza del materiale agricolo. L’insicurezza alimentare grave colpisce il 10% della popolazione, il 51% della popolazione si trova in una situazione di sicurezza alimentare al limite e il 28,7% dei bambini soffre di malnutrizione cronica. Dal punto di vista economico, inoltre, si registra un’elevata disoccupazione che colpisce in misura maggiore le donne (32,7%). L’intervento mira a rispondere alle problematiche delle aree rurali della Regione di </w:t>
            </w:r>
            <w:proofErr w:type="spellStart"/>
            <w:r w:rsidRPr="00D348F8">
              <w:rPr>
                <w:sz w:val="24"/>
                <w:szCs w:val="24"/>
              </w:rPr>
              <w:t>Kaffrine</w:t>
            </w:r>
            <w:proofErr w:type="spellEnd"/>
            <w:r w:rsidRPr="00D348F8">
              <w:rPr>
                <w:sz w:val="24"/>
                <w:szCs w:val="24"/>
              </w:rPr>
              <w:t xml:space="preserve"> quali povertà ed accesso al cibo, mancanza di opportunità di lavoro, soprattutto per le donne, e scarsa valorizzazione delle risorse territoriali esistenti.</w:t>
            </w:r>
          </w:p>
          <w:p w:rsidR="0003645C" w:rsidRPr="00D348F8" w:rsidRDefault="0003645C" w:rsidP="00826E32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D348F8">
              <w:rPr>
                <w:sz w:val="24"/>
                <w:szCs w:val="24"/>
                <w:u w:val="single"/>
              </w:rPr>
              <w:t>L’obiettivo generale</w:t>
            </w:r>
            <w:r w:rsidRPr="00D348F8">
              <w:rPr>
                <w:sz w:val="24"/>
                <w:szCs w:val="24"/>
              </w:rPr>
              <w:t xml:space="preserve"> del progetto è di contribuire alla lotta alla povertà e allo sviluppo rurale dei villaggi della Valle del </w:t>
            </w:r>
            <w:proofErr w:type="spellStart"/>
            <w:r w:rsidRPr="00D348F8">
              <w:rPr>
                <w:sz w:val="24"/>
                <w:szCs w:val="24"/>
              </w:rPr>
              <w:t>Bao</w:t>
            </w:r>
            <w:proofErr w:type="spellEnd"/>
            <w:r w:rsidRPr="00D348F8">
              <w:rPr>
                <w:sz w:val="24"/>
                <w:szCs w:val="24"/>
              </w:rPr>
              <w:t xml:space="preserve"> </w:t>
            </w:r>
            <w:proofErr w:type="spellStart"/>
            <w:r w:rsidRPr="00D348F8">
              <w:rPr>
                <w:sz w:val="24"/>
                <w:szCs w:val="24"/>
              </w:rPr>
              <w:t>Bolong</w:t>
            </w:r>
            <w:proofErr w:type="spellEnd"/>
            <w:r w:rsidRPr="00D348F8">
              <w:rPr>
                <w:sz w:val="24"/>
                <w:szCs w:val="24"/>
              </w:rPr>
              <w:t xml:space="preserve"> nella regione di </w:t>
            </w:r>
            <w:proofErr w:type="spellStart"/>
            <w:r w:rsidRPr="00D348F8">
              <w:rPr>
                <w:sz w:val="24"/>
                <w:szCs w:val="24"/>
              </w:rPr>
              <w:t>Kaffrine</w:t>
            </w:r>
            <w:proofErr w:type="spellEnd"/>
            <w:r w:rsidRPr="00D348F8">
              <w:rPr>
                <w:sz w:val="24"/>
                <w:szCs w:val="24"/>
              </w:rPr>
              <w:t xml:space="preserve"> (Senegal) favorendo il protagonismo delle comunità locali, ed in particolare delle donne, al processo di crescita economico e sociale. </w:t>
            </w:r>
          </w:p>
          <w:p w:rsidR="0003645C" w:rsidRDefault="0003645C" w:rsidP="00826E32">
            <w:pPr>
              <w:jc w:val="both"/>
              <w:rPr>
                <w:sz w:val="24"/>
                <w:szCs w:val="24"/>
              </w:rPr>
            </w:pPr>
            <w:r w:rsidRPr="00D348F8">
              <w:rPr>
                <w:sz w:val="24"/>
                <w:szCs w:val="24"/>
                <w:u w:val="single"/>
              </w:rPr>
              <w:t>L’obiettivo specifico</w:t>
            </w:r>
            <w:r w:rsidRPr="00D348F8">
              <w:rPr>
                <w:sz w:val="24"/>
                <w:szCs w:val="24"/>
              </w:rPr>
              <w:t xml:space="preserve"> è di creare un Centro Servizi per lo sviluppo agricolo e il rafforzamento del capitale umano e sociale nella valle del </w:t>
            </w:r>
            <w:proofErr w:type="spellStart"/>
            <w:r w:rsidRPr="00D348F8">
              <w:rPr>
                <w:sz w:val="24"/>
                <w:szCs w:val="24"/>
              </w:rPr>
              <w:t>Bao</w:t>
            </w:r>
            <w:proofErr w:type="spellEnd"/>
            <w:r w:rsidRPr="00D348F8">
              <w:rPr>
                <w:sz w:val="24"/>
                <w:szCs w:val="24"/>
              </w:rPr>
              <w:t xml:space="preserve"> </w:t>
            </w:r>
            <w:proofErr w:type="spellStart"/>
            <w:r w:rsidRPr="00D348F8">
              <w:rPr>
                <w:sz w:val="24"/>
                <w:szCs w:val="24"/>
              </w:rPr>
              <w:t>Bolong</w:t>
            </w:r>
            <w:proofErr w:type="spellEnd"/>
            <w:r w:rsidRPr="00D348F8">
              <w:rPr>
                <w:sz w:val="24"/>
                <w:szCs w:val="24"/>
              </w:rPr>
              <w:t xml:space="preserve"> in grado di fornire prodotti e servizi della filiera alimentare a prezzi contenuti per il mercato locale, aumentando la sicurezza alimentare, la protezione sociale e lo sviluppo socio-economico dei villaggi target</w:t>
            </w:r>
          </w:p>
          <w:p w:rsidR="0003645C" w:rsidRPr="00D348F8" w:rsidRDefault="0003645C" w:rsidP="00826E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348F8">
              <w:rPr>
                <w:sz w:val="24"/>
                <w:szCs w:val="24"/>
                <w:u w:val="single"/>
              </w:rPr>
              <w:lastRenderedPageBreak/>
              <w:t>Risultato 1</w:t>
            </w:r>
            <w:r w:rsidRPr="00D348F8">
              <w:rPr>
                <w:sz w:val="24"/>
                <w:szCs w:val="24"/>
              </w:rPr>
              <w:t xml:space="preserve">: L'accesso a percorsi formativi di qualità nel settore agro-alimentare rivolti alle donne dei </w:t>
            </w:r>
            <w:proofErr w:type="spellStart"/>
            <w:r w:rsidRPr="00D348F8">
              <w:rPr>
                <w:i/>
                <w:sz w:val="24"/>
                <w:szCs w:val="24"/>
              </w:rPr>
              <w:t>groupement</w:t>
            </w:r>
            <w:proofErr w:type="spellEnd"/>
            <w:r w:rsidRPr="00D348F8">
              <w:rPr>
                <w:sz w:val="24"/>
                <w:szCs w:val="24"/>
              </w:rPr>
              <w:t xml:space="preserve"> è aumentato</w:t>
            </w:r>
            <w:r w:rsidRPr="00D348F8">
              <w:rPr>
                <w:sz w:val="24"/>
                <w:szCs w:val="24"/>
              </w:rPr>
              <w:tab/>
            </w:r>
          </w:p>
          <w:p w:rsidR="0003645C" w:rsidRDefault="0003645C" w:rsidP="00826E32">
            <w:pPr>
              <w:jc w:val="both"/>
            </w:pPr>
            <w:r w:rsidRPr="00D348F8">
              <w:rPr>
                <w:sz w:val="24"/>
                <w:szCs w:val="24"/>
                <w:u w:val="single"/>
              </w:rPr>
              <w:t>Risultato 2</w:t>
            </w:r>
            <w:r w:rsidRPr="00D348F8">
              <w:rPr>
                <w:sz w:val="24"/>
                <w:szCs w:val="24"/>
              </w:rPr>
              <w:t xml:space="preserve">: L’accesso delle donne dei </w:t>
            </w:r>
            <w:proofErr w:type="spellStart"/>
            <w:r w:rsidRPr="00D348F8">
              <w:rPr>
                <w:i/>
                <w:sz w:val="24"/>
                <w:szCs w:val="24"/>
              </w:rPr>
              <w:t>groupement</w:t>
            </w:r>
            <w:proofErr w:type="spellEnd"/>
            <w:r w:rsidRPr="00D348F8">
              <w:rPr>
                <w:sz w:val="24"/>
                <w:szCs w:val="24"/>
              </w:rPr>
              <w:t xml:space="preserve"> della valle del </w:t>
            </w:r>
            <w:proofErr w:type="spellStart"/>
            <w:r w:rsidRPr="00D348F8">
              <w:rPr>
                <w:sz w:val="24"/>
                <w:szCs w:val="24"/>
              </w:rPr>
              <w:t>Bao</w:t>
            </w:r>
            <w:proofErr w:type="spellEnd"/>
            <w:r w:rsidRPr="00D348F8">
              <w:rPr>
                <w:sz w:val="24"/>
                <w:szCs w:val="24"/>
              </w:rPr>
              <w:t xml:space="preserve"> </w:t>
            </w:r>
            <w:proofErr w:type="spellStart"/>
            <w:r w:rsidRPr="00D348F8">
              <w:rPr>
                <w:sz w:val="24"/>
                <w:szCs w:val="24"/>
              </w:rPr>
              <w:t>Bolong</w:t>
            </w:r>
            <w:proofErr w:type="spellEnd"/>
            <w:r w:rsidRPr="00D348F8">
              <w:rPr>
                <w:sz w:val="24"/>
                <w:szCs w:val="24"/>
              </w:rPr>
              <w:t xml:space="preserve"> ad input agricoli di qualità, la loro produttività, la diversificazione e collocazione sul mercato della loro produzione sono aumentati attraverso una struttura di aggregazione territoriale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3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3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535.470,70 €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03645C" w:rsidRPr="00FF32B8" w:rsidRDefault="0003645C" w:rsidP="00826E32">
            <w:pPr>
              <w:rPr>
                <w:caps/>
              </w:rPr>
            </w:pPr>
            <w:r>
              <w:rPr>
                <w:rFonts w:ascii="Trebuchet MS" w:hAnsi="Trebuchet MS"/>
              </w:rPr>
              <w:t xml:space="preserve">65.355,00 </w:t>
            </w:r>
            <w:r>
              <w:rPr>
                <w:rFonts w:ascii="Trebuchet MS" w:hAnsi="Trebuchet MS"/>
                <w:caps/>
              </w:rPr>
              <w:t>€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Pr="00794234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03645C" w:rsidRDefault="0003645C" w:rsidP="00826E32">
            <w:r>
              <w:rPr>
                <w:rFonts w:ascii="Trebuchet MS" w:hAnsi="Trebuchet MS"/>
              </w:rPr>
              <w:t>18.000</w:t>
            </w:r>
          </w:p>
        </w:tc>
      </w:tr>
      <w:tr w:rsidR="0003645C" w:rsidRPr="00794234" w:rsidTr="00826E32">
        <w:tc>
          <w:tcPr>
            <w:tcW w:w="4814" w:type="dxa"/>
          </w:tcPr>
          <w:p w:rsidR="0003645C" w:rsidRDefault="0003645C" w:rsidP="00826E32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03645C" w:rsidRDefault="0003645C" w:rsidP="00826E32">
            <w:pPr>
              <w:rPr>
                <w:rFonts w:ascii="Trebuchet MS" w:hAnsi="Trebuchet MS"/>
              </w:rPr>
            </w:pPr>
          </w:p>
        </w:tc>
      </w:tr>
    </w:tbl>
    <w:p w:rsidR="00C71AF8" w:rsidRDefault="0003645C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45C"/>
    <w:rsid w:val="0003645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EAB7E-B590-4834-8487-987742C3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45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2017-09-12T11:03:00Z</dcterms:created>
  <dcterms:modified xsi:type="dcterms:W3CDTF">2017-09-12T11:04:00Z</dcterms:modified>
</cp:coreProperties>
</file>