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2. SDG numero: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9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-1734"/>
                <w:tab w:val="left" w:pos="-1440"/>
              </w:tabs>
              <w:spacing w:before="20" w:after="40"/>
              <w:jc w:val="center"/>
              <w:rPr>
                <w:rFonts w:ascii="Trebuchet MS" w:eastAsia="Calibri" w:hAnsi="Trebuchet MS" w:cs="Calibri"/>
                <w:color w:val="000000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Virtualmente (Percorso didattico “Tecnologie innovative per uno sviluppo sostenibile”)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ACCRI</w:t>
            </w:r>
            <w:r>
              <w:rPr>
                <w:rFonts w:ascii="Trebuchet MS" w:hAnsi="Trebuchet MS"/>
                <w:sz w:val="24"/>
                <w:szCs w:val="24"/>
              </w:rPr>
              <w:t xml:space="preserve"> (FOCSIV)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ARPA FVG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6/2015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 anno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Regione Friuli Venezia Giulia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 xml:space="preserve">Accendere un riflettore tra le pieghe meno note del complesso fenomeno dell’high-tech e delle tematiche collegate: dall’estrazione dei metalli preziosi per la costruzione delle strumentazioni elettroniche, alle fonti di inquinamento elettromagnetico, alla filiera dei rifiuti elettronici, spaziando verso le </w:t>
            </w:r>
            <w:proofErr w:type="spellStart"/>
            <w:r w:rsidRPr="00CF2E20">
              <w:rPr>
                <w:rFonts w:ascii="Trebuchet MS" w:hAnsi="Trebuchet MS"/>
                <w:sz w:val="24"/>
                <w:szCs w:val="24"/>
              </w:rPr>
              <w:t>tecnodipendenze</w:t>
            </w:r>
            <w:proofErr w:type="spellEnd"/>
            <w:r w:rsidRPr="00CF2E20">
              <w:rPr>
                <w:rFonts w:ascii="Trebuchet MS" w:hAnsi="Trebuchet MS"/>
                <w:sz w:val="24"/>
                <w:szCs w:val="24"/>
              </w:rPr>
              <w:t>, cercando di comprendere i diffusi e variegati risvolti sociali.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10000</w:t>
            </w:r>
          </w:p>
        </w:tc>
      </w:tr>
      <w:tr w:rsidR="00CF2E20" w:rsidRPr="00CF2E20" w:rsidTr="003E28A5"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400</w:t>
            </w:r>
          </w:p>
        </w:tc>
      </w:tr>
      <w:tr w:rsidR="00CF2E20" w:rsidRPr="00CF2E20" w:rsidTr="003E28A5">
        <w:trPr>
          <w:trHeight w:val="581"/>
        </w:trPr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F2E20">
              <w:rPr>
                <w:rFonts w:ascii="Trebuchet MS" w:hAnsi="Trebuchet MS"/>
                <w:sz w:val="24"/>
                <w:szCs w:val="24"/>
              </w:rPr>
              <w:t>500</w:t>
            </w:r>
          </w:p>
        </w:tc>
      </w:tr>
      <w:tr w:rsidR="00CF2E20" w:rsidRPr="00CF2E20" w:rsidTr="003E28A5">
        <w:trPr>
          <w:trHeight w:val="581"/>
        </w:trPr>
        <w:tc>
          <w:tcPr>
            <w:tcW w:w="4814" w:type="dxa"/>
          </w:tcPr>
          <w:p w:rsidR="00CF2E20" w:rsidRPr="00CF2E20" w:rsidRDefault="00CF2E20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F2E20" w:rsidRPr="00CF2E20" w:rsidRDefault="00CF2E20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C71AF8" w:rsidRPr="00CF2E20" w:rsidRDefault="00045E8D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C71AF8" w:rsidRPr="00CF2E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20"/>
    <w:rsid w:val="00045E8D"/>
    <w:rsid w:val="00CF2E2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B5670"/>
  <w15:chartTrackingRefBased/>
  <w15:docId w15:val="{CB1D9CDE-C717-4207-A702-9D731CE1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2E2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F2E20"/>
    <w:pPr>
      <w:suppressAutoHyphens/>
      <w:autoSpaceDN w:val="0"/>
      <w:spacing w:line="256" w:lineRule="auto"/>
      <w:textAlignment w:val="baseline"/>
    </w:pPr>
    <w:rPr>
      <w:rFonts w:ascii="Calibri" w:eastAsia="Calibri" w:hAnsi="Calibri" w:cs="DejaVu Sans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2017-09-05T15:05:00Z</dcterms:created>
  <dcterms:modified xsi:type="dcterms:W3CDTF">2017-09-05T15:07:00Z</dcterms:modified>
</cp:coreProperties>
</file>