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6B6CCE" w:rsidRPr="00712921" w:rsidTr="00AB3E08">
        <w:tc>
          <w:tcPr>
            <w:tcW w:w="4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bCs/>
                <w:color w:val="auto"/>
                <w:sz w:val="24"/>
                <w:szCs w:val="24"/>
              </w:rPr>
              <w:t>1. SDG numero:</w:t>
            </w:r>
          </w:p>
        </w:tc>
        <w:tc>
          <w:tcPr>
            <w:tcW w:w="48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SDG 4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2. Nome progetto o dell’attività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Green Jobs-un anno diverso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Legambiente Mondi Possibili in collaborazione con APS Tavola Rotonda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Roma capitale-ASL RMA e altre associazioni del territorio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5. Data di inizio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2015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6. Durata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Annuale (moduli trimestrali)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7. Luogo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Roma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8. Breve descrizione (max. 2000 caratteri)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Si tratta di un ciclo di corsi a tema ambientale i cui obiettivi principali sono la riappropriazione dello spazio sociale da parte di persone con svantaggio, la sensibilizzazione ai temi ambientali e la crescita dell’autonomia personale e lavorativa. Il tutto focalizzato sui greenjobs, le cosiddette professioni verdi. Obiettivo aggiuntivo è sensibilizzare le imprese a ricorrere a questo tipo di professionalità e, al contempo, intraprendere percorsi virtuosi attraverso il coinvolgimento di persone con difficoltà a collocarsi nel mondo del lavoro.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 xml:space="preserve">La formazione consiste in 4 moduli: </w:t>
            </w: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u w:val="single"/>
              </w:rPr>
              <w:t>Orti urbani e domestici, Ciclomeccanica, Informatica sostenibile e Upcycling-Riuso</w:t>
            </w: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, orientati principalmente all’azione, con il prezioso supporto del mondo associativo e di quello scientifico nel raccontare esperienze e trasferire competenze: a ogni “professione” sono state collegate esperienze dirette all’interno di progetti e campagne di tutela ambientale e cura della città. Al termine dei moduli ai partecipanti è offerta l’occasione di testarsi come facilitatori nell’ambito di eventi pubblici e formazioni specifiche e di trasferire le competenze acquisite, generando ricadute positive in termini di inclusione sociale e protagonismo.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lastRenderedPageBreak/>
              <w:t>Il progetto favorisce la costruzione di competenze chiave di cittadinanza. All’interno del percorso forte centralità è riservata alla progettazione e realizzazione da parte dei partecipanti alle giornate di volontariato, rappresentate dalle campagne di Legambiente, intese come momento di sintesi del percorso e attività chiave nella quale raggiungere i traguardi di competenza attraverso concrete azioni di cittadinanza.</w:t>
            </w:r>
          </w:p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Attraverso “Un anno diverso…” gli utenti del DSM hanno potuto percepire i valori sui quali si fonda una società attenta all’ambiente e sviluppare una propria coscienza ecologica, basata sull’esperienza diretta e sull’interazione tra persone.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20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8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7129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 xml:space="preserve">11.000 </w:t>
            </w:r>
            <w:r w:rsid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€</w:t>
            </w: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 xml:space="preserve"> circa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7129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11.000</w:t>
            </w:r>
            <w:r w:rsid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 xml:space="preserve"> €</w:t>
            </w:r>
            <w:bookmarkStart w:id="0" w:name="_GoBack"/>
            <w:bookmarkEnd w:id="0"/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 xml:space="preserve"> circa</w:t>
            </w:r>
          </w:p>
        </w:tc>
      </w:tr>
      <w:tr w:rsidR="006B6CCE" w:rsidRPr="00712921" w:rsidTr="00AB3E08"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00" w:afterAutospacing="1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CE" w:rsidRPr="00712921" w:rsidRDefault="006B6CCE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00" w:beforeAutospacing="1" w:after="160" w:line="256" w:lineRule="auto"/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</w:pPr>
            <w:r w:rsidRPr="00712921">
              <w:rPr>
                <w:rFonts w:ascii="Trebuchet MS" w:eastAsia="Times New Roman" w:hAnsi="Trebuchet MS" w:cs="Times New Roman"/>
                <w:color w:val="auto"/>
                <w:sz w:val="24"/>
                <w:szCs w:val="24"/>
              </w:rPr>
              <w:t>60 persone ogni anno</w:t>
            </w:r>
          </w:p>
        </w:tc>
      </w:tr>
    </w:tbl>
    <w:p w:rsidR="00C71AF8" w:rsidRPr="00712921" w:rsidRDefault="00712921">
      <w:pPr>
        <w:rPr>
          <w:rFonts w:ascii="Trebuchet MS" w:hAnsi="Trebuchet MS"/>
          <w:sz w:val="24"/>
          <w:szCs w:val="24"/>
        </w:rPr>
      </w:pPr>
    </w:p>
    <w:sectPr w:rsidR="00C71AF8" w:rsidRPr="0071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CE"/>
    <w:rsid w:val="006B6CCE"/>
    <w:rsid w:val="0071292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F2C4"/>
  <w15:chartTrackingRefBased/>
  <w15:docId w15:val="{E4E6367B-29C8-4544-9B6E-D5D0D0EF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B6CC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2017-08-29T15:37:00Z</dcterms:created>
  <dcterms:modified xsi:type="dcterms:W3CDTF">2017-09-04T10:18:00Z</dcterms:modified>
</cp:coreProperties>
</file>