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8"/>
        <w:gridCol w:w="7300"/>
      </w:tblGrid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 xml:space="preserve">1. </w:t>
            </w:r>
            <w:proofErr w:type="spellStart"/>
            <w:r w:rsidRPr="00CC587E">
              <w:rPr>
                <w:rFonts w:ascii="Trebuchet MS" w:hAnsi="Trebuchet MS"/>
                <w:sz w:val="24"/>
                <w:szCs w:val="24"/>
              </w:rPr>
              <w:t>Sdg</w:t>
            </w:r>
            <w:proofErr w:type="spellEnd"/>
            <w:r w:rsidRPr="00CC587E">
              <w:rPr>
                <w:rFonts w:ascii="Trebuchet MS" w:hAnsi="Trebuchet MS"/>
                <w:sz w:val="24"/>
                <w:szCs w:val="24"/>
              </w:rPr>
              <w:t xml:space="preserve"> numero: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11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punti famiglia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acli nazionali - acli regionali provinciali - circoli acli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enti pubblici locali - associazioni di volontariato - altre aps - diocesi - caritas diocesane - patronati e caf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2010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in corso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noProof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43 sedi provinciali acli da nord a sud:</w:t>
            </w:r>
          </w:p>
          <w:p w:rsidR="006E6D52" w:rsidRPr="00CC587E" w:rsidRDefault="00CC587E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Http://www.aclipuntofamiglia.it/news.interna.php?notizia=371</w:t>
            </w:r>
            <w:r w:rsidR="006E6D52"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6E6D52"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6E6D52"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6E6D52" w:rsidRPr="00CC587E" w:rsidRDefault="006E6D52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il punto famiglia è un luogo di aggregazione,  di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aggregazione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,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accompagnamento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e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servizi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non solo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per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la famiglia, ma anche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con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la famiglia, ove valorizzare le sue capacità di auto-tutela e mutuo-aiuto e sperimentare il protagonismo familiare.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</w:rPr>
              <w:br/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Il tratto distintivo che caratterizza i punto famiglia risiede nella capacità di creare legami, mettendo a disposizione dei nuclei familiari spazi, risorse, competenze umane e professionali, in cui sviluppare reti intra ed inter familiari, inter e intra generazionali, inter e intra culturali, e in cui trovare risposte a problemi contingenti.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</w:rPr>
              <w:br/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Ascolto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, </w:t>
            </w:r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orientamento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ed </w:t>
            </w:r>
            <w:proofErr w:type="spellStart"/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empowerment</w:t>
            </w:r>
            <w:proofErr w:type="spellEnd"/>
            <w:r w:rsidR="00CC587E" w:rsidRPr="00CC587E">
              <w:rPr>
                <w:rStyle w:val="Enfasigrassetto"/>
                <w:rFonts w:ascii="Trebuchet MS" w:hAnsi="Trebuchet MS" w:cs="Arial"/>
                <w:b w:val="0"/>
                <w:color w:val="000000"/>
                <w:sz w:val="24"/>
                <w:szCs w:val="24"/>
                <w:shd w:val="clear" w:color="auto" w:fill="C8D5E3"/>
              </w:rPr>
              <w:t>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delle famiglie, sono dunque questi i tre pilastri sui cui poggiano i punto famiglia, minimo comune denominatore che accomuna i circa 60 punto famiglia già attivati in </w:t>
            </w:r>
            <w:proofErr w:type="spellStart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tutt’italia</w:t>
            </w:r>
            <w:proofErr w:type="spellEnd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.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 la filosofia di fondo che guida la strategia sulla famiglia delle </w:t>
            </w:r>
            <w:proofErr w:type="spellStart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acli</w:t>
            </w:r>
            <w:proofErr w:type="spellEnd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 si muove su due piani, quello del pensare e quello del fare.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</w:rPr>
              <w:br/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Sul piano del pensare, le </w:t>
            </w:r>
            <w:proofErr w:type="spellStart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acli</w:t>
            </w:r>
            <w:proofErr w:type="spellEnd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 si pongono l’obiettivo di promuovere il protagonismo della famiglia e di investire sulla cittadinanza familiare quale principale pilastro di convivenza sociale.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</w:rPr>
              <w:br/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Inoltre, in un’ottica di family </w:t>
            </w:r>
            <w:proofErr w:type="spellStart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mainstreaming</w:t>
            </w:r>
            <w:proofErr w:type="spellEnd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 (valutare, cioè, l’impatto di tutte le politiche sul soggetto famiglia) si prefiggono di promuovere politiche integrate e mirate, che superino l’attuale logica emergenziale e assistenziale. 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</w:rPr>
              <w:br/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Sul piano del fare, attraverso i punto famiglia, le </w:t>
            </w:r>
            <w:proofErr w:type="spellStart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>acli</w:t>
            </w:r>
            <w:proofErr w:type="spellEnd"/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t xml:space="preserve"> intendono </w:t>
            </w:r>
            <w:r w:rsidR="00CC587E" w:rsidRPr="00CC587E">
              <w:rPr>
                <w:rFonts w:ascii="Trebuchet MS" w:hAnsi="Trebuchet MS" w:cs="Arial"/>
                <w:color w:val="000000"/>
                <w:sz w:val="24"/>
                <w:szCs w:val="24"/>
                <w:shd w:val="clear" w:color="auto" w:fill="C8D5E3"/>
              </w:rPr>
              <w:lastRenderedPageBreak/>
              <w:t>sviluppare sull’intero territorio nazionale - all’interno delle sedi provinciali e locali, nei circoli e nelle parrocchie - forme innovative di aggregazione e servizio per e con le famiglie.</w:t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250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140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>
              <w:rPr>
                <w:rFonts w:ascii="Trebuchet MS" w:hAnsi="Trebuchet MS"/>
                <w:noProof/>
                <w:sz w:val="24"/>
                <w:szCs w:val="24"/>
              </w:rPr>
              <w:t xml:space="preserve">€ 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1.100.000,00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>
              <w:rPr>
                <w:rFonts w:ascii="Trebuchet MS" w:hAnsi="Trebuchet MS"/>
                <w:noProof/>
                <w:sz w:val="24"/>
                <w:szCs w:val="24"/>
              </w:rPr>
              <w:t>€</w:t>
            </w:r>
            <w:bookmarkStart w:id="0" w:name="_GoBack"/>
            <w:bookmarkEnd w:id="0"/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 xml:space="preserve"> 850.000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6E6D52" w:rsidRPr="00CC587E" w:rsidTr="00066372">
        <w:tc>
          <w:tcPr>
            <w:tcW w:w="4814" w:type="dxa"/>
          </w:tcPr>
          <w:p w:rsidR="006E6D52" w:rsidRPr="00CC587E" w:rsidRDefault="00CC587E" w:rsidP="00066372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6E6D52" w:rsidRPr="00CC587E" w:rsidRDefault="006E6D52" w:rsidP="00066372">
            <w:pPr>
              <w:rPr>
                <w:rFonts w:ascii="Trebuchet MS" w:hAnsi="Trebuchet MS"/>
                <w:sz w:val="24"/>
                <w:szCs w:val="24"/>
              </w:rPr>
            </w:pPr>
            <w:r w:rsidRPr="00CC587E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C587E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C587E">
              <w:rPr>
                <w:rFonts w:ascii="Trebuchet MS" w:hAnsi="Trebuchet MS"/>
                <w:sz w:val="24"/>
                <w:szCs w:val="24"/>
              </w:rPr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="00CC587E" w:rsidRPr="00CC587E">
              <w:rPr>
                <w:rFonts w:ascii="Trebuchet MS" w:hAnsi="Trebuchet MS"/>
                <w:noProof/>
                <w:sz w:val="24"/>
                <w:szCs w:val="24"/>
              </w:rPr>
              <w:t>12.000 circa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CC587E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</w:tbl>
    <w:p w:rsidR="00C71AF8" w:rsidRPr="00CC587E" w:rsidRDefault="00CC587E">
      <w:pPr>
        <w:rPr>
          <w:rFonts w:ascii="Trebuchet MS" w:hAnsi="Trebuchet MS"/>
          <w:sz w:val="24"/>
          <w:szCs w:val="24"/>
        </w:rPr>
      </w:pPr>
    </w:p>
    <w:sectPr w:rsidR="00C71AF8" w:rsidRPr="00CC58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52"/>
    <w:rsid w:val="006E6D52"/>
    <w:rsid w:val="00CC587E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E8D5"/>
  <w15:chartTrackingRefBased/>
  <w15:docId w15:val="{E3EFF814-7B0D-4019-87C4-5E12231C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6D5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6E6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2017-08-30T12:47:00Z</dcterms:created>
  <dcterms:modified xsi:type="dcterms:W3CDTF">2017-09-04T13:19:00Z</dcterms:modified>
</cp:coreProperties>
</file>