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bookmarkStart w:id="0" w:name="_GoBack"/>
            <w:r w:rsidRPr="00741B39">
              <w:rPr>
                <w:rFonts w:ascii="Trebuchet MS" w:eastAsia="Trebuchet MS" w:hAnsi="Trebuchet MS" w:cs="Trebuchet MS"/>
                <w:color w:val="000000" w:themeColor="text1"/>
                <w:sz w:val="24"/>
                <w:szCs w:val="24"/>
              </w:rPr>
              <w:t>1. SDG numero:</w:t>
            </w:r>
          </w:p>
        </w:tc>
        <w:tc>
          <w:tcPr>
            <w:tcW w:w="4814" w:type="dxa"/>
          </w:tcPr>
          <w:p w:rsidR="000F44A1" w:rsidRPr="00741B39" w:rsidRDefault="000F44A1" w:rsidP="00741B39">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14</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2. Nome progetto o dell’attività</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 xml:space="preserve">Spiagge e fondali puliti - </w:t>
            </w:r>
            <w:proofErr w:type="spellStart"/>
            <w:r w:rsidRPr="00741B39">
              <w:rPr>
                <w:rFonts w:ascii="Trebuchet MS" w:eastAsia="Trebuchet MS" w:hAnsi="Trebuchet MS" w:cs="Trebuchet MS"/>
                <w:color w:val="000000" w:themeColor="text1"/>
                <w:sz w:val="24"/>
                <w:szCs w:val="24"/>
              </w:rPr>
              <w:t>Clean</w:t>
            </w:r>
            <w:proofErr w:type="spellEnd"/>
            <w:r w:rsidRPr="00741B39">
              <w:rPr>
                <w:rFonts w:ascii="Trebuchet MS" w:eastAsia="Trebuchet MS" w:hAnsi="Trebuchet MS" w:cs="Trebuchet MS"/>
                <w:color w:val="000000" w:themeColor="text1"/>
                <w:sz w:val="24"/>
                <w:szCs w:val="24"/>
              </w:rPr>
              <w:t xml:space="preserve"> up the </w:t>
            </w:r>
            <w:proofErr w:type="spellStart"/>
            <w:r w:rsidRPr="00741B39">
              <w:rPr>
                <w:rFonts w:ascii="Trebuchet MS" w:eastAsia="Trebuchet MS" w:hAnsi="Trebuchet MS" w:cs="Trebuchet MS"/>
                <w:color w:val="000000" w:themeColor="text1"/>
                <w:sz w:val="24"/>
                <w:szCs w:val="24"/>
              </w:rPr>
              <w:t>Med</w:t>
            </w:r>
            <w:proofErr w:type="spellEnd"/>
            <w:r w:rsidRPr="00741B39">
              <w:rPr>
                <w:rFonts w:ascii="Trebuchet MS" w:eastAsia="Trebuchet MS" w:hAnsi="Trebuchet MS" w:cs="Trebuchet MS"/>
                <w:color w:val="000000" w:themeColor="text1"/>
                <w:sz w:val="24"/>
                <w:szCs w:val="24"/>
              </w:rPr>
              <w:t xml:space="preserve"> 2016 - </w:t>
            </w:r>
            <w:proofErr w:type="spellStart"/>
            <w:r w:rsidRPr="00741B39">
              <w:rPr>
                <w:rFonts w:ascii="Trebuchet MS" w:eastAsia="Trebuchet MS" w:hAnsi="Trebuchet MS" w:cs="Trebuchet MS"/>
                <w:color w:val="000000" w:themeColor="text1"/>
                <w:sz w:val="24"/>
                <w:szCs w:val="24"/>
              </w:rPr>
              <w:t>beachlitter</w:t>
            </w:r>
            <w:proofErr w:type="spellEnd"/>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3. Nome dell’organizzazione responsabile del progetto (se differente dal livello nazionale)</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Legambiente</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4. Eventuali partner (altre organizzazioni di Terzo settore, Pubblica Amministrazione, Enti Locali, etc.)</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 xml:space="preserve">MAREBLU, NOVAMONT come sponsor - coinvolgimento di ASSOCIAZIONE DA TUTTO IL MEDITERRANEO - amministrazioni, associazioni </w:t>
            </w:r>
            <w:proofErr w:type="spellStart"/>
            <w:r w:rsidRPr="00741B39">
              <w:rPr>
                <w:rFonts w:ascii="Trebuchet MS" w:eastAsia="Trebuchet MS" w:hAnsi="Trebuchet MS" w:cs="Trebuchet MS"/>
                <w:color w:val="000000" w:themeColor="text1"/>
                <w:sz w:val="24"/>
                <w:szCs w:val="24"/>
              </w:rPr>
              <w:t>etc</w:t>
            </w:r>
            <w:proofErr w:type="spellEnd"/>
            <w:r w:rsidRPr="00741B39">
              <w:rPr>
                <w:rFonts w:ascii="Trebuchet MS" w:eastAsia="Trebuchet MS" w:hAnsi="Trebuchet MS" w:cs="Trebuchet MS"/>
                <w:color w:val="000000" w:themeColor="text1"/>
                <w:sz w:val="24"/>
                <w:szCs w:val="24"/>
              </w:rPr>
              <w:t>… nelle varie tappe</w:t>
            </w:r>
          </w:p>
        </w:tc>
      </w:tr>
      <w:tr w:rsidR="00741B39" w:rsidRPr="00741B39" w:rsidTr="00AB3E08">
        <w:trPr>
          <w:trHeight w:val="609"/>
        </w:trPr>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5. Data di inizio</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2016 - ULTIMO WE DI MAGGIO (FEBBRAIO - APRILE PER MONITORAGGI BEACHLITTER)</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6. Durata</w:t>
            </w:r>
          </w:p>
        </w:tc>
        <w:tc>
          <w:tcPr>
            <w:tcW w:w="4814" w:type="dxa"/>
          </w:tcPr>
          <w:p w:rsidR="000F44A1" w:rsidRPr="00741B39" w:rsidRDefault="000F44A1" w:rsidP="00AB3E08">
            <w:pPr>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 xml:space="preserve">La campagna è attiva dalla metà degli anni ‘90. Nel giugno 2017 Legambiente ha partecipato (con questa campagna e Goletta Verde) alla conferenza ONU sugli oceani sugli SDG14 - organizzato un side </w:t>
            </w:r>
            <w:proofErr w:type="spellStart"/>
            <w:r w:rsidRPr="00741B39">
              <w:rPr>
                <w:rFonts w:ascii="Trebuchet MS" w:eastAsia="Trebuchet MS" w:hAnsi="Trebuchet MS" w:cs="Trebuchet MS"/>
                <w:color w:val="000000" w:themeColor="text1"/>
                <w:sz w:val="24"/>
                <w:szCs w:val="24"/>
              </w:rPr>
              <w:t>event</w:t>
            </w:r>
            <w:proofErr w:type="spellEnd"/>
            <w:r w:rsidRPr="00741B39">
              <w:rPr>
                <w:rFonts w:ascii="Trebuchet MS" w:eastAsia="Trebuchet MS" w:hAnsi="Trebuchet MS" w:cs="Trebuchet MS"/>
                <w:color w:val="000000" w:themeColor="text1"/>
                <w:sz w:val="24"/>
                <w:szCs w:val="24"/>
              </w:rPr>
              <w:t xml:space="preserve"> nella Conferenza sul Mediterraneo e marine </w:t>
            </w:r>
            <w:proofErr w:type="spellStart"/>
            <w:r w:rsidRPr="00741B39">
              <w:rPr>
                <w:rFonts w:ascii="Trebuchet MS" w:eastAsia="Trebuchet MS" w:hAnsi="Trebuchet MS" w:cs="Trebuchet MS"/>
                <w:color w:val="000000" w:themeColor="text1"/>
                <w:sz w:val="24"/>
                <w:szCs w:val="24"/>
              </w:rPr>
              <w:t>litter</w:t>
            </w:r>
            <w:proofErr w:type="spellEnd"/>
            <w:r w:rsidRPr="00741B39">
              <w:rPr>
                <w:rFonts w:ascii="Trebuchet MS" w:eastAsia="Trebuchet MS" w:hAnsi="Trebuchet MS" w:cs="Trebuchet MS"/>
                <w:color w:val="000000" w:themeColor="text1"/>
                <w:sz w:val="24"/>
                <w:szCs w:val="24"/>
              </w:rPr>
              <w:t xml:space="preserve"> (unico a livello italiano)</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7. Luogo</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Tutte le coste italiane, 8 paesi del Mediterraneo</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8. Breve descrizione (max. 2000 caratteri)</w:t>
            </w: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p w:rsidR="000F44A1" w:rsidRPr="00741B39" w:rsidRDefault="000F44A1" w:rsidP="00AB3E08">
            <w:pPr>
              <w:rPr>
                <w:rFonts w:ascii="Trebuchet MS" w:eastAsia="Trebuchet MS" w:hAnsi="Trebuchet MS" w:cs="Trebuchet MS"/>
                <w:color w:val="000000" w:themeColor="text1"/>
                <w:sz w:val="24"/>
                <w:szCs w:val="24"/>
              </w:rPr>
            </w:pPr>
          </w:p>
        </w:tc>
        <w:tc>
          <w:tcPr>
            <w:tcW w:w="4814" w:type="dxa"/>
          </w:tcPr>
          <w:p w:rsidR="000F44A1" w:rsidRPr="00741B39" w:rsidRDefault="000F44A1" w:rsidP="00AB3E08">
            <w:pPr>
              <w:spacing w:after="160" w:line="259" w:lineRule="auto"/>
              <w:rPr>
                <w:rFonts w:ascii="Trebuchet MS" w:eastAsia="Trebuchet MS" w:hAnsi="Trebuchet MS" w:cs="Trebuchet MS"/>
                <w:color w:val="000000" w:themeColor="text1"/>
                <w:sz w:val="24"/>
                <w:szCs w:val="24"/>
              </w:rPr>
            </w:pPr>
            <w:proofErr w:type="gramStart"/>
            <w:r w:rsidRPr="00741B39">
              <w:rPr>
                <w:rFonts w:ascii="Trebuchet MS" w:eastAsia="Trebuchet MS" w:hAnsi="Trebuchet MS" w:cs="Trebuchet MS"/>
                <w:color w:val="000000" w:themeColor="text1"/>
                <w:sz w:val="24"/>
                <w:szCs w:val="24"/>
              </w:rPr>
              <w:t>E’</w:t>
            </w:r>
            <w:proofErr w:type="gramEnd"/>
            <w:r w:rsidRPr="00741B39">
              <w:rPr>
                <w:rFonts w:ascii="Trebuchet MS" w:eastAsia="Trebuchet MS" w:hAnsi="Trebuchet MS" w:cs="Trebuchet MS"/>
                <w:color w:val="000000" w:themeColor="text1"/>
                <w:sz w:val="24"/>
                <w:szCs w:val="24"/>
              </w:rPr>
              <w:t xml:space="preserve"> considerata da </w:t>
            </w:r>
            <w:proofErr w:type="spellStart"/>
            <w:r w:rsidRPr="00741B39">
              <w:rPr>
                <w:rFonts w:ascii="Trebuchet MS" w:eastAsia="Trebuchet MS" w:hAnsi="Trebuchet MS" w:cs="Trebuchet MS"/>
                <w:color w:val="000000" w:themeColor="text1"/>
                <w:sz w:val="24"/>
                <w:szCs w:val="24"/>
              </w:rPr>
              <w:t>UNep</w:t>
            </w:r>
            <w:proofErr w:type="spellEnd"/>
            <w:r w:rsidRPr="00741B39">
              <w:rPr>
                <w:rFonts w:ascii="Trebuchet MS" w:eastAsia="Trebuchet MS" w:hAnsi="Trebuchet MS" w:cs="Trebuchet MS"/>
                <w:color w:val="000000" w:themeColor="text1"/>
                <w:sz w:val="24"/>
                <w:szCs w:val="24"/>
              </w:rPr>
              <w:t xml:space="preserve"> </w:t>
            </w:r>
            <w:proofErr w:type="spellStart"/>
            <w:r w:rsidRPr="00741B39">
              <w:rPr>
                <w:rFonts w:ascii="Trebuchet MS" w:eastAsia="Trebuchet MS" w:hAnsi="Trebuchet MS" w:cs="Trebuchet MS"/>
                <w:color w:val="000000" w:themeColor="text1"/>
                <w:sz w:val="24"/>
                <w:szCs w:val="24"/>
              </w:rPr>
              <w:t>Map</w:t>
            </w:r>
            <w:proofErr w:type="spellEnd"/>
            <w:r w:rsidRPr="00741B39">
              <w:rPr>
                <w:rFonts w:ascii="Trebuchet MS" w:eastAsia="Trebuchet MS" w:hAnsi="Trebuchet MS" w:cs="Trebuchet MS"/>
                <w:color w:val="000000" w:themeColor="text1"/>
                <w:sz w:val="24"/>
                <w:szCs w:val="24"/>
              </w:rPr>
              <w:t xml:space="preserve"> come una delle più importanti campagne di </w:t>
            </w:r>
            <w:proofErr w:type="spellStart"/>
            <w:r w:rsidRPr="00741B39">
              <w:rPr>
                <w:rFonts w:ascii="Trebuchet MS" w:eastAsia="Trebuchet MS" w:hAnsi="Trebuchet MS" w:cs="Trebuchet MS"/>
                <w:color w:val="000000" w:themeColor="text1"/>
                <w:sz w:val="24"/>
                <w:szCs w:val="24"/>
              </w:rPr>
              <w:t>citizen</w:t>
            </w:r>
            <w:proofErr w:type="spellEnd"/>
            <w:r w:rsidRPr="00741B39">
              <w:rPr>
                <w:rFonts w:ascii="Trebuchet MS" w:eastAsia="Trebuchet MS" w:hAnsi="Trebuchet MS" w:cs="Trebuchet MS"/>
                <w:color w:val="000000" w:themeColor="text1"/>
                <w:sz w:val="24"/>
                <w:szCs w:val="24"/>
              </w:rPr>
              <w:t xml:space="preserve"> science del Mediterraneo; riconosciuta dall’US </w:t>
            </w:r>
            <w:proofErr w:type="spellStart"/>
            <w:r w:rsidRPr="00741B39">
              <w:rPr>
                <w:rFonts w:ascii="Trebuchet MS" w:eastAsia="Trebuchet MS" w:hAnsi="Trebuchet MS" w:cs="Trebuchet MS"/>
                <w:color w:val="000000" w:themeColor="text1"/>
                <w:sz w:val="24"/>
                <w:szCs w:val="24"/>
              </w:rPr>
              <w:t>Department</w:t>
            </w:r>
            <w:proofErr w:type="spellEnd"/>
            <w:r w:rsidRPr="00741B39">
              <w:rPr>
                <w:rFonts w:ascii="Trebuchet MS" w:eastAsia="Trebuchet MS" w:hAnsi="Trebuchet MS" w:cs="Trebuchet MS"/>
                <w:color w:val="000000" w:themeColor="text1"/>
                <w:sz w:val="24"/>
                <w:szCs w:val="24"/>
              </w:rPr>
              <w:t xml:space="preserve"> nella “</w:t>
            </w:r>
            <w:proofErr w:type="spellStart"/>
            <w:r w:rsidRPr="00741B39">
              <w:rPr>
                <w:rFonts w:ascii="Trebuchet MS" w:eastAsia="Trebuchet MS" w:hAnsi="Trebuchet MS" w:cs="Trebuchet MS"/>
                <w:color w:val="000000" w:themeColor="text1"/>
                <w:sz w:val="24"/>
                <w:szCs w:val="24"/>
              </w:rPr>
              <w:t>Our</w:t>
            </w:r>
            <w:proofErr w:type="spellEnd"/>
            <w:r w:rsidRPr="00741B39">
              <w:rPr>
                <w:rFonts w:ascii="Trebuchet MS" w:eastAsia="Trebuchet MS" w:hAnsi="Trebuchet MS" w:cs="Trebuchet MS"/>
                <w:color w:val="000000" w:themeColor="text1"/>
                <w:sz w:val="24"/>
                <w:szCs w:val="24"/>
              </w:rPr>
              <w:t xml:space="preserve"> Ocean Conference” - la principale iniziativa di collaborazione tra associazioni e operatori del Mediterraneo.</w:t>
            </w:r>
          </w:p>
          <w:p w:rsidR="000F44A1" w:rsidRPr="00741B39" w:rsidRDefault="000F44A1" w:rsidP="00AB3E08">
            <w:pPr>
              <w:shd w:val="clear" w:color="auto" w:fill="FFFFFF"/>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 xml:space="preserve">Si tratta di una giornata mondiale di volontariato per la pulizia delle spiagge e dei fondali. Vi partecipano cittadini di ogni età e provenienza, riempendo migliaia di sacchi con mozziconi di sigarette, bottigliette di plastica, </w:t>
            </w:r>
            <w:proofErr w:type="spellStart"/>
            <w:r w:rsidRPr="00741B39">
              <w:rPr>
                <w:rFonts w:ascii="Trebuchet MS" w:eastAsia="Trebuchet MS" w:hAnsi="Trebuchet MS" w:cs="Trebuchet MS"/>
                <w:color w:val="000000" w:themeColor="text1"/>
                <w:sz w:val="24"/>
                <w:szCs w:val="24"/>
              </w:rPr>
              <w:t>cotton</w:t>
            </w:r>
            <w:proofErr w:type="spellEnd"/>
            <w:r w:rsidRPr="00741B39">
              <w:rPr>
                <w:rFonts w:ascii="Trebuchet MS" w:eastAsia="Trebuchet MS" w:hAnsi="Trebuchet MS" w:cs="Trebuchet MS"/>
                <w:color w:val="000000" w:themeColor="text1"/>
                <w:sz w:val="24"/>
                <w:szCs w:val="24"/>
              </w:rPr>
              <w:t xml:space="preserve"> </w:t>
            </w:r>
            <w:proofErr w:type="spellStart"/>
            <w:r w:rsidRPr="00741B39">
              <w:rPr>
                <w:rFonts w:ascii="Trebuchet MS" w:eastAsia="Trebuchet MS" w:hAnsi="Trebuchet MS" w:cs="Trebuchet MS"/>
                <w:color w:val="000000" w:themeColor="text1"/>
                <w:sz w:val="24"/>
                <w:szCs w:val="24"/>
              </w:rPr>
              <w:t>fioc</w:t>
            </w:r>
            <w:proofErr w:type="spellEnd"/>
            <w:r w:rsidRPr="00741B39">
              <w:rPr>
                <w:rFonts w:ascii="Trebuchet MS" w:eastAsia="Trebuchet MS" w:hAnsi="Trebuchet MS" w:cs="Trebuchet MS"/>
                <w:color w:val="000000" w:themeColor="text1"/>
                <w:sz w:val="24"/>
                <w:szCs w:val="24"/>
              </w:rPr>
              <w:t xml:space="preserve">, oggetti metallici, pneumatici, e qualunque altro tipo di rifiuto possa riportare il mare. </w:t>
            </w:r>
          </w:p>
          <w:p w:rsidR="000F44A1" w:rsidRPr="00741B39" w:rsidRDefault="00741B39" w:rsidP="00AB3E08">
            <w:pPr>
              <w:spacing w:after="160" w:line="259" w:lineRule="auto"/>
              <w:rPr>
                <w:rFonts w:ascii="Trebuchet MS" w:eastAsia="Trebuchet MS" w:hAnsi="Trebuchet MS" w:cs="Trebuchet MS"/>
                <w:color w:val="000000" w:themeColor="text1"/>
                <w:sz w:val="24"/>
                <w:szCs w:val="24"/>
              </w:rPr>
            </w:pPr>
            <w:hyperlink r:id="rId4" w:history="1">
              <w:r w:rsidR="000F44A1" w:rsidRPr="00741B39">
                <w:rPr>
                  <w:rStyle w:val="Collegamentoipertestuale"/>
                  <w:rFonts w:ascii="Trebuchet MS" w:eastAsia="Trebuchet MS" w:hAnsi="Trebuchet MS" w:cs="Trebuchet MS"/>
                  <w:color w:val="000000" w:themeColor="text1"/>
                  <w:sz w:val="24"/>
                  <w:szCs w:val="24"/>
                  <w:u w:val="none"/>
                </w:rPr>
                <w:t>Spiagge e fondali puliti 2016</w:t>
              </w:r>
            </w:hyperlink>
            <w:r w:rsidR="000F44A1" w:rsidRPr="00741B39">
              <w:rPr>
                <w:rFonts w:ascii="Trebuchet MS" w:eastAsia="Trebuchet MS" w:hAnsi="Trebuchet MS" w:cs="Trebuchet MS"/>
                <w:color w:val="000000" w:themeColor="text1"/>
                <w:sz w:val="24"/>
                <w:szCs w:val="24"/>
              </w:rPr>
              <w:t xml:space="preserve"> </w:t>
            </w:r>
          </w:p>
          <w:p w:rsidR="000F44A1" w:rsidRPr="00741B39" w:rsidRDefault="000F44A1" w:rsidP="00AB3E08">
            <w:pPr>
              <w:shd w:val="clear" w:color="auto" w:fill="FFFFFF"/>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 xml:space="preserve">Incentivare sul territorio campagne di prevenzione, sensibilizzazione e informazione rivolte a cittadini e studenti è fondamentale per arrivare a una </w:t>
            </w:r>
            <w:r w:rsidRPr="00741B39">
              <w:rPr>
                <w:rFonts w:ascii="Trebuchet MS" w:eastAsia="Trebuchet MS" w:hAnsi="Trebuchet MS" w:cs="Trebuchet MS"/>
                <w:color w:val="000000" w:themeColor="text1"/>
                <w:sz w:val="24"/>
                <w:szCs w:val="24"/>
              </w:rPr>
              <w:lastRenderedPageBreak/>
              <w:t xml:space="preserve">corretta gestione dei rifiuti e una partecipazione attiva da parte della cittadinanza. La forza di questa iniziativa sta anche nel coinvolgimento degli studenti e nello sviluppo di una maggiore consapevolezza e tutela nei confronti del mare e dell’ambiente. </w:t>
            </w:r>
          </w:p>
          <w:p w:rsidR="000F44A1" w:rsidRPr="00741B39" w:rsidRDefault="000F44A1" w:rsidP="00AB3E08">
            <w:pPr>
              <w:shd w:val="clear" w:color="auto" w:fill="FFFFFF"/>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 xml:space="preserve">Alla campagna </w:t>
            </w:r>
            <w:proofErr w:type="spellStart"/>
            <w:r w:rsidRPr="00741B39">
              <w:rPr>
                <w:rFonts w:ascii="Trebuchet MS" w:eastAsia="Trebuchet MS" w:hAnsi="Trebuchet MS" w:cs="Trebuchet MS"/>
                <w:color w:val="000000" w:themeColor="text1"/>
                <w:sz w:val="24"/>
                <w:szCs w:val="24"/>
              </w:rPr>
              <w:t>Clean</w:t>
            </w:r>
            <w:proofErr w:type="spellEnd"/>
            <w:r w:rsidRPr="00741B39">
              <w:rPr>
                <w:rFonts w:ascii="Trebuchet MS" w:eastAsia="Trebuchet MS" w:hAnsi="Trebuchet MS" w:cs="Trebuchet MS"/>
                <w:color w:val="000000" w:themeColor="text1"/>
                <w:sz w:val="24"/>
                <w:szCs w:val="24"/>
              </w:rPr>
              <w:t xml:space="preserve"> up the </w:t>
            </w:r>
            <w:proofErr w:type="spellStart"/>
            <w:r w:rsidRPr="00741B39">
              <w:rPr>
                <w:rFonts w:ascii="Trebuchet MS" w:eastAsia="Trebuchet MS" w:hAnsi="Trebuchet MS" w:cs="Trebuchet MS"/>
                <w:color w:val="000000" w:themeColor="text1"/>
                <w:sz w:val="24"/>
                <w:szCs w:val="24"/>
              </w:rPr>
              <w:t>Med</w:t>
            </w:r>
            <w:proofErr w:type="spellEnd"/>
            <w:r w:rsidRPr="00741B39">
              <w:rPr>
                <w:rFonts w:ascii="Trebuchet MS" w:eastAsia="Trebuchet MS" w:hAnsi="Trebuchet MS" w:cs="Trebuchet MS"/>
                <w:color w:val="000000" w:themeColor="text1"/>
                <w:sz w:val="24"/>
                <w:szCs w:val="24"/>
              </w:rPr>
              <w:t xml:space="preserve"> aderiscono associazioni, scuole e istituzioni locali di ben 14 paesi, con l’obiettivo non solo di pulire ma soprattutto di diffondere una nuova sensibilità e un nuovo senso civico.</w:t>
            </w:r>
          </w:p>
          <w:p w:rsidR="000F44A1" w:rsidRPr="00741B39" w:rsidRDefault="000F44A1" w:rsidP="00AB3E08">
            <w:pPr>
              <w:shd w:val="clear" w:color="auto" w:fill="FFFFFF"/>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 xml:space="preserve">A livello nazionale sono ben 200 le spiagge italiane, e ben 170 quelle del Mediterraneo, ripulite ogni anno dai volontari. I dati dell’indagine </w:t>
            </w:r>
            <w:hyperlink r:id="rId5" w:history="1">
              <w:r w:rsidRPr="00741B39">
                <w:rPr>
                  <w:rStyle w:val="Collegamentoipertestuale"/>
                  <w:rFonts w:ascii="Trebuchet MS" w:eastAsia="Trebuchet MS" w:hAnsi="Trebuchet MS" w:cs="Trebuchet MS"/>
                  <w:color w:val="000000" w:themeColor="text1"/>
                  <w:sz w:val="24"/>
                  <w:szCs w:val="24"/>
                  <w:u w:val="none"/>
                </w:rPr>
                <w:t xml:space="preserve">Beach </w:t>
              </w:r>
              <w:proofErr w:type="spellStart"/>
              <w:r w:rsidRPr="00741B39">
                <w:rPr>
                  <w:rStyle w:val="Collegamentoipertestuale"/>
                  <w:rFonts w:ascii="Trebuchet MS" w:eastAsia="Trebuchet MS" w:hAnsi="Trebuchet MS" w:cs="Trebuchet MS"/>
                  <w:color w:val="000000" w:themeColor="text1"/>
                  <w:sz w:val="24"/>
                  <w:szCs w:val="24"/>
                  <w:u w:val="none"/>
                </w:rPr>
                <w:t>litter</w:t>
              </w:r>
              <w:proofErr w:type="spellEnd"/>
            </w:hyperlink>
            <w:r w:rsidRPr="00741B39">
              <w:rPr>
                <w:rFonts w:ascii="Trebuchet MS" w:eastAsia="Trebuchet MS" w:hAnsi="Trebuchet MS" w:cs="Trebuchet MS"/>
                <w:color w:val="000000" w:themeColor="text1"/>
                <w:sz w:val="24"/>
                <w:szCs w:val="24"/>
              </w:rPr>
              <w:t>, condotta da Legambiente nei mesi di aprile e maggio, confermano una situazione critica per molti arenili: su 62 spiagge italiane, per un totale di oltre 200mila metri quadri, sono stati trovati una media di 670 rifiuti ogni 100 metri lineari di spiaggia. La plastica si conferma il materiale più trovato, seguita da vetro/ceramica, metallo e carta.</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lastRenderedPageBreak/>
              <w:t xml:space="preserve">9. Stima del numero dei volontari impegnati </w:t>
            </w:r>
          </w:p>
        </w:tc>
        <w:tc>
          <w:tcPr>
            <w:tcW w:w="4814" w:type="dxa"/>
          </w:tcPr>
          <w:p w:rsidR="000F44A1" w:rsidRPr="00741B39" w:rsidRDefault="000F44A1" w:rsidP="00AB3E08">
            <w:pPr>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Centinaia in ogni edizione della campagna</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10. Stima del numero dei dipendenti occupati nel progetto</w:t>
            </w:r>
          </w:p>
        </w:tc>
        <w:tc>
          <w:tcPr>
            <w:tcW w:w="4814" w:type="dxa"/>
          </w:tcPr>
          <w:p w:rsidR="000F44A1" w:rsidRPr="00741B39" w:rsidRDefault="000F44A1" w:rsidP="00AB3E08">
            <w:pPr>
              <w:spacing w:after="160" w:line="259" w:lineRule="auto"/>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10</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11. Stima del valore economico dell’intero progetto</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Enorme</w:t>
            </w: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12. Stima delle risorse economiche impiegate dalla tua organizzazione nel progetto</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p>
        </w:tc>
      </w:tr>
      <w:tr w:rsidR="00741B39" w:rsidRPr="00741B39" w:rsidTr="00AB3E08">
        <w:tc>
          <w:tcPr>
            <w:tcW w:w="4814" w:type="dxa"/>
          </w:tcPr>
          <w:p w:rsidR="000F44A1" w:rsidRPr="00741B39" w:rsidRDefault="000F44A1" w:rsidP="00AB3E08">
            <w:pPr>
              <w:rPr>
                <w:rFonts w:ascii="Trebuchet MS" w:eastAsia="Trebuchet MS" w:hAnsi="Trebuchet MS" w:cs="Trebuchet MS"/>
                <w:color w:val="000000" w:themeColor="text1"/>
                <w:sz w:val="24"/>
                <w:szCs w:val="24"/>
              </w:rPr>
            </w:pPr>
            <w:r w:rsidRPr="00741B39">
              <w:rPr>
                <w:rFonts w:ascii="Trebuchet MS" w:eastAsia="Trebuchet MS" w:hAnsi="Trebuchet MS" w:cs="Trebuchet MS"/>
                <w:color w:val="000000" w:themeColor="text1"/>
                <w:sz w:val="24"/>
                <w:szCs w:val="24"/>
              </w:rPr>
              <w:t>13. Stima del numero dei beneficiari del progetto</w:t>
            </w:r>
          </w:p>
        </w:tc>
        <w:tc>
          <w:tcPr>
            <w:tcW w:w="4814" w:type="dxa"/>
          </w:tcPr>
          <w:p w:rsidR="000F44A1" w:rsidRPr="00741B39" w:rsidRDefault="000F44A1" w:rsidP="00AB3E08">
            <w:pPr>
              <w:spacing w:after="160" w:line="259" w:lineRule="auto"/>
              <w:rPr>
                <w:rFonts w:ascii="Trebuchet MS" w:hAnsi="Trebuchet MS"/>
                <w:color w:val="000000" w:themeColor="text1"/>
                <w:sz w:val="24"/>
                <w:szCs w:val="24"/>
              </w:rPr>
            </w:pPr>
            <w:r w:rsidRPr="00741B39">
              <w:rPr>
                <w:rFonts w:ascii="Trebuchet MS" w:eastAsia="Trebuchet MS" w:hAnsi="Trebuchet MS" w:cs="Trebuchet MS"/>
                <w:color w:val="000000" w:themeColor="text1"/>
                <w:sz w:val="24"/>
                <w:szCs w:val="24"/>
              </w:rPr>
              <w:t xml:space="preserve">Decine di amministrazioni - centinaia di realtà locali - migliaia di volontari </w:t>
            </w:r>
          </w:p>
        </w:tc>
      </w:tr>
      <w:bookmarkEnd w:id="0"/>
    </w:tbl>
    <w:p w:rsidR="00C71AF8" w:rsidRPr="00741B39" w:rsidRDefault="00741B39">
      <w:pPr>
        <w:rPr>
          <w:rFonts w:ascii="Trebuchet MS" w:hAnsi="Trebuchet MS"/>
          <w:color w:val="000000" w:themeColor="text1"/>
          <w:sz w:val="24"/>
          <w:szCs w:val="24"/>
        </w:rPr>
      </w:pPr>
    </w:p>
    <w:sectPr w:rsidR="00C71AF8" w:rsidRPr="00741B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4A1"/>
    <w:rsid w:val="000F44A1"/>
    <w:rsid w:val="00741B39"/>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FD358"/>
  <w15:chartTrackingRefBased/>
  <w15:docId w15:val="{446D3FEB-482B-41B5-BA2E-93FC7C5CC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F44A1"/>
    <w:pPr>
      <w:pBdr>
        <w:top w:val="nil"/>
        <w:left w:val="nil"/>
        <w:bottom w:val="nil"/>
        <w:right w:val="nil"/>
        <w:between w:val="nil"/>
      </w:pBdr>
      <w:spacing w:after="0" w:line="240" w:lineRule="auto"/>
    </w:pPr>
    <w:rPr>
      <w:rFonts w:ascii="Calibri" w:eastAsia="Calibri" w:hAnsi="Calibri" w:cs="Calibri"/>
      <w:color w:val="00000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F44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egambiente.it/marinelitter/" TargetMode="External"/><Relationship Id="rId4" Type="http://schemas.openxmlformats.org/officeDocument/2006/relationships/hyperlink" Target="https://www.legambiente.it/contenuti/campagne/spiagge-e-fondali-puliti-201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2017-08-29T15:58:00Z</dcterms:created>
  <dcterms:modified xsi:type="dcterms:W3CDTF">2017-09-04T13:38:00Z</dcterms:modified>
</cp:coreProperties>
</file>