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33B8" w14:textId="77777777" w:rsidR="008C2BEA" w:rsidRPr="003357BA" w:rsidRDefault="003357BA">
      <w:pPr>
        <w:rPr>
          <w:b/>
        </w:rPr>
      </w:pPr>
      <w:r>
        <w:rPr>
          <w:b/>
        </w:rPr>
        <w:t>Pubblicazione immagini</w:t>
      </w:r>
      <w:r w:rsidR="00C62397">
        <w:rPr>
          <w:b/>
        </w:rPr>
        <w:t xml:space="preserve"> FNTS.</w:t>
      </w:r>
    </w:p>
    <w:p w14:paraId="0268D3C4" w14:textId="77777777" w:rsidR="008C2BEA" w:rsidRDefault="008C2BEA" w:rsidP="005874A9">
      <w:pPr>
        <w:jc w:val="both"/>
      </w:pPr>
    </w:p>
    <w:p w14:paraId="0A90C958" w14:textId="52775C86" w:rsidR="008C2BEA" w:rsidRDefault="003357BA" w:rsidP="00C62397">
      <w:pPr>
        <w:jc w:val="both"/>
      </w:pPr>
      <w:r>
        <w:t>Preliminarmente risulta necessario sottolineare</w:t>
      </w:r>
      <w:r w:rsidR="008C2BEA">
        <w:t xml:space="preserve"> che</w:t>
      </w:r>
      <w:r>
        <w:t>, sebbene in termini ge</w:t>
      </w:r>
      <w:r w:rsidR="00C62397">
        <w:t>nerali è sempre preferibile l’autorizzazione</w:t>
      </w:r>
      <w:r>
        <w:t xml:space="preserve"> dell’</w:t>
      </w:r>
      <w:r w:rsidR="00C62397">
        <w:t>interessato</w:t>
      </w:r>
      <w:r w:rsidR="008C2BEA">
        <w:t xml:space="preserve"> per la pubblicazione di immagini e video su internet e/o sui </w:t>
      </w:r>
      <w:r w:rsidR="008C2BEA" w:rsidRPr="008C2BEA">
        <w:rPr>
          <w:i/>
        </w:rPr>
        <w:t>social networks</w:t>
      </w:r>
      <w:r w:rsidR="00C62397">
        <w:rPr>
          <w:i/>
        </w:rPr>
        <w:t>,</w:t>
      </w:r>
      <w:r w:rsidR="008C2BEA">
        <w:rPr>
          <w:i/>
        </w:rPr>
        <w:t xml:space="preserve"> </w:t>
      </w:r>
      <w:r w:rsidR="008C2BEA">
        <w:t xml:space="preserve">il consenso del soggetto ripreso non è sempre necessario. </w:t>
      </w:r>
    </w:p>
    <w:p w14:paraId="033A62BE" w14:textId="31FD34A0" w:rsidR="005874A9" w:rsidRDefault="00BD5E18" w:rsidP="00C62397">
      <w:pPr>
        <w:jc w:val="both"/>
      </w:pPr>
      <w:r>
        <w:t>I</w:t>
      </w:r>
      <w:r w:rsidR="005874A9">
        <w:t>n o</w:t>
      </w:r>
      <w:r w:rsidR="00762AF7">
        <w:t>ccasione degli eventi organizzati da</w:t>
      </w:r>
      <w:r w:rsidR="005874A9">
        <w:t xml:space="preserve"> Forum Nazionale del Terzo Settore </w:t>
      </w:r>
      <w:r w:rsidR="00762AF7">
        <w:t xml:space="preserve">il partecipante </w:t>
      </w:r>
      <w:r w:rsidR="005874A9">
        <w:t>può ragionevolmente attendersi che verranno scattate delle fotografie o riprodotti dei video</w:t>
      </w:r>
      <w:r w:rsidR="003357BA">
        <w:t xml:space="preserve"> durante gli eventi</w:t>
      </w:r>
      <w:r w:rsidR="005E0ED4">
        <w:t xml:space="preserve">, necessarie </w:t>
      </w:r>
      <w:r w:rsidR="005874A9">
        <w:t>al perseguimento del legittimo interesse dell’organizzatore di promuovere le sue attività</w:t>
      </w:r>
      <w:r w:rsidR="00956D8E">
        <w:t xml:space="preserve"> sui propri canali social</w:t>
      </w:r>
      <w:r w:rsidR="005874A9">
        <w:t>, derivandone</w:t>
      </w:r>
      <w:r w:rsidR="005E0ED4">
        <w:t>,</w:t>
      </w:r>
      <w:r w:rsidR="005874A9">
        <w:t xml:space="preserve"> </w:t>
      </w:r>
      <w:r w:rsidR="001C2883">
        <w:t>perciò</w:t>
      </w:r>
      <w:r w:rsidR="005E0ED4">
        <w:t xml:space="preserve">, </w:t>
      </w:r>
      <w:r w:rsidR="00762AF7">
        <w:t>la legittimità al trattamento secondo una base giuridica diversa dal consenso dell’</w:t>
      </w:r>
      <w:r w:rsidR="005E0ED4">
        <w:t>interessa</w:t>
      </w:r>
      <w:r w:rsidR="00762AF7">
        <w:t xml:space="preserve">to. </w:t>
      </w:r>
    </w:p>
    <w:p w14:paraId="71EAB710" w14:textId="48257318" w:rsidR="00762AF7" w:rsidRDefault="00762AF7" w:rsidP="00C62397">
      <w:p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>
        <w:t xml:space="preserve">A tal proposito occorre far presente che proprio ai sensi del Considerando n. 47 </w:t>
      </w:r>
      <w:r w:rsidR="005E0ED4">
        <w:t xml:space="preserve">del GDPR </w:t>
      </w:r>
      <w:r>
        <w:t>“</w:t>
      </w:r>
      <w:r w:rsidRPr="00762AF7">
        <w:rPr>
          <w:rFonts w:eastAsia="Times New Roman" w:cstheme="minorHAnsi"/>
          <w:i/>
          <w:iCs/>
          <w:color w:val="111111"/>
          <w:bdr w:val="none" w:sz="0" w:space="0" w:color="auto" w:frame="1"/>
          <w:lang w:eastAsia="it-IT"/>
        </w:rPr>
        <w:t>l’esistenza di legittimi interessi richiede un'attenta valutazione anche in merito all'eventualità che l'interessato, al momento e nell'ambito della raccolta dei dati personali, possa ragionevolmente attendersi che abbia luogo un trattamento a tal fine</w:t>
      </w:r>
      <w:r>
        <w:rPr>
          <w:rFonts w:eastAsia="Times New Roman" w:cstheme="minorHAnsi"/>
          <w:i/>
          <w:iCs/>
          <w:color w:val="111111"/>
          <w:bdr w:val="none" w:sz="0" w:space="0" w:color="auto" w:frame="1"/>
          <w:lang w:eastAsia="it-IT"/>
        </w:rPr>
        <w:t xml:space="preserve">”, 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a condizione che gli interessi del titolare (in questo caso FNTS) non prevalgano sui diritti dei partecipati. </w:t>
      </w:r>
    </w:p>
    <w:p w14:paraId="547DC8D0" w14:textId="3692D3AC" w:rsidR="005E0ED4" w:rsidRDefault="00BD5E18" w:rsidP="00C62397">
      <w:pPr>
        <w:jc w:val="both"/>
      </w:pP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T</w:t>
      </w:r>
      <w:r w:rsidR="005E0ED4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ale impostazione può 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ritenersi senz’altro valida </w:t>
      </w:r>
      <w:r w:rsidR="005E0ED4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per gli incontr</w:t>
      </w:r>
      <w:r w:rsidR="00554BA9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i periodici </w:t>
      </w:r>
      <w:r w:rsidR="005E0ED4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dove, peraltro, si ritrovino ad </w:t>
      </w:r>
      <w:r w:rsidR="00554BA9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essere coinvolte realtà su scala nazion</w:t>
      </w:r>
      <w:r w:rsidR="004D49A3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al</w:t>
      </w:r>
      <w:r w:rsidR="00554BA9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e</w:t>
      </w:r>
      <w:r w:rsidR="001C2883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,</w:t>
      </w:r>
      <w:r w:rsidR="005E0ED4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</w:t>
      </w:r>
      <w:r w:rsidR="001C2883">
        <w:t>derivandone, perciò, la possibile legittimità al trattamento secondo una base giuridica diversa dal consenso dell’interessato.</w:t>
      </w:r>
    </w:p>
    <w:p w14:paraId="6C5C28B8" w14:textId="77777777" w:rsidR="00BD5E18" w:rsidRDefault="00BD5E18" w:rsidP="00C62397">
      <w:pPr>
        <w:jc w:val="both"/>
      </w:pPr>
    </w:p>
    <w:p w14:paraId="7263EA7F" w14:textId="158CF2B2" w:rsidR="001C2883" w:rsidRDefault="001C2883" w:rsidP="00C62397">
      <w:pPr>
        <w:jc w:val="both"/>
      </w:pPr>
      <w:r>
        <w:t xml:space="preserve">Al fianco della normativa in materia di protezione dei dati personali, </w:t>
      </w:r>
      <w:r w:rsidR="00BD5E18">
        <w:t xml:space="preserve">occorre poi tener presente anche le disposizioni concernenti il </w:t>
      </w:r>
      <w:r>
        <w:t>Diritto d’Autore di cui alla L. n. 633/1941</w:t>
      </w:r>
      <w:r w:rsidR="00BD5E18">
        <w:t xml:space="preserve"> al fine della individuazione del </w:t>
      </w:r>
      <w:r w:rsidR="00956D8E">
        <w:t xml:space="preserve">perimetro legale </w:t>
      </w:r>
      <w:r w:rsidR="00554BA9">
        <w:t>per la</w:t>
      </w:r>
      <w:r w:rsidR="00956D8E">
        <w:t xml:space="preserve"> pubblicazione di immagini e video raffiguranti persone fisiche. </w:t>
      </w:r>
    </w:p>
    <w:p w14:paraId="7E27F5A8" w14:textId="460D5601" w:rsidR="00956D8E" w:rsidRPr="00C62397" w:rsidRDefault="00956D8E" w:rsidP="00C62397">
      <w:pPr>
        <w:jc w:val="both"/>
      </w:pPr>
      <w:r>
        <w:t>Specifico riferimento è agli articoli 96 e 97 della Legge appena richiamata. Infat</w:t>
      </w:r>
      <w:r w:rsidR="00E66CD3">
        <w:t xml:space="preserve">ti, </w:t>
      </w:r>
      <w:r w:rsidR="00554BA9">
        <w:t>ancorché</w:t>
      </w:r>
      <w:r w:rsidR="00E66CD3">
        <w:t xml:space="preserve"> il primo preveda </w:t>
      </w:r>
      <w:r w:rsidRPr="00C62397">
        <w:t>la</w:t>
      </w:r>
      <w:r w:rsidR="00E66CD3" w:rsidRPr="00C62397">
        <w:t xml:space="preserve"> regola generale secondo la quale il ritratto di una persona non può essere esposto, riprodotto o messo in commercio senza il consenso di questa, il secondo degli articoli citati costituisce una clausola di riserva che</w:t>
      </w:r>
      <w:r w:rsidR="00BD5E18">
        <w:t xml:space="preserve"> individua </w:t>
      </w:r>
      <w:r w:rsidR="00E66CD3" w:rsidRPr="00C62397">
        <w:t xml:space="preserve">gli ambiti nei quali la riproduzione di immagini è consentita senza il consenso dell’interessato. </w:t>
      </w:r>
    </w:p>
    <w:p w14:paraId="5E08210B" w14:textId="0C802C4B" w:rsidR="00E66CD3" w:rsidRPr="00C62397" w:rsidRDefault="00BD5E18" w:rsidP="00C62397">
      <w:pPr>
        <w:jc w:val="both"/>
      </w:pPr>
      <w:r>
        <w:t>In particolare, a</w:t>
      </w:r>
      <w:r w:rsidR="00E66CD3" w:rsidRPr="00C62397">
        <w:t>i sensi dell’art. 97</w:t>
      </w:r>
      <w:r w:rsidR="00554BA9" w:rsidRPr="00C62397">
        <w:t xml:space="preserve"> della L. n. 633/1941</w:t>
      </w:r>
      <w:r w:rsidR="00E66CD3" w:rsidRPr="00C62397">
        <w:t>, “</w:t>
      </w:r>
      <w:r w:rsidR="00E66CD3" w:rsidRPr="00C62397">
        <w:rPr>
          <w:i/>
        </w:rPr>
        <w:t xml:space="preserve">Non occorre il consenso della persona ritratta quando la riproduzione dell’immagine è giustificata dalla notorietà o dall’ufficio pubblico coperto, da necessità di giustizia o di polizia, da scopi scientifici, didattici o culturali, o </w:t>
      </w:r>
      <w:r w:rsidR="00E66CD3" w:rsidRPr="00C62397">
        <w:rPr>
          <w:i/>
          <w:u w:val="single"/>
        </w:rPr>
        <w:t>quando la riproduzione è collegata a fatti, avvenimenti, cerimonie di interesse pubblico o svoltisi in pubblico</w:t>
      </w:r>
      <w:r w:rsidR="00E66CD3" w:rsidRPr="00C62397">
        <w:t xml:space="preserve">”. </w:t>
      </w:r>
    </w:p>
    <w:p w14:paraId="78E89C4D" w14:textId="33732361" w:rsidR="00A31F9C" w:rsidRDefault="00554BA9" w:rsidP="00C62397">
      <w:p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Va da sé</w:t>
      </w:r>
      <w:r w:rsidR="00A31F9C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che, con riferimento alla </w:t>
      </w:r>
      <w:r w:rsidR="00BD5E18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funzione </w:t>
      </w:r>
      <w:r w:rsidR="00A31F9C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di rappresentanza che il Forum Nazionale del Terzo Settore e</w:t>
      </w:r>
      <w:r w:rsidR="00BD5E18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sercita sul </w:t>
      </w:r>
      <w:r w:rsidR="00A31F9C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territorio nazionale</w:t>
      </w:r>
      <w:r w:rsidR="00DA1C9A" w:rsidRPr="00DA1C9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</w:t>
      </w:r>
      <w:r w:rsidR="00DA1C9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e al principio di sussidiarietà orizzontale che trova massima attuazione proprio nei rapporti tra gli enti del terzo settore e le pubbliche amministrazioni, così come disciplinati all’art. 55 del Codice del terzo settore (così Corte Costituzionale n. 131/2020)</w:t>
      </w:r>
      <w:r w:rsidR="00A31F9C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, gli eventi di cui lo stesso </w:t>
      </w:r>
      <w:r w:rsidR="00DA1C9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si fa promotore poss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ono ragionevolmente</w:t>
      </w:r>
      <w:r w:rsidR="00DA1C9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essere ricompresi</w:t>
      </w:r>
      <w:r w:rsidR="00A31F9C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nella categoria di interesse </w:t>
      </w:r>
      <w:r w:rsidR="00DA1C9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pubblico giuridicamente inteso. </w:t>
      </w:r>
    </w:p>
    <w:p w14:paraId="0EC1391A" w14:textId="140E2348" w:rsidR="00DA1C9A" w:rsidRDefault="00DA1C9A" w:rsidP="00C62397">
      <w:p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In altre parole, dunque, la pubblicazione sui canali comunicativi di immagini e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videoriprese di eventi di rilevanza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nazionale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, ove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peraltro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non è infrequente </w:t>
      </w:r>
      <w:r w:rsidR="002A53B5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il coinvolgimento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delle Istituzioni, non </w:t>
      </w:r>
      <w:r w:rsidR="00BD5E18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pongono 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problematiche in ordine alla diffusione di immagini che raffigurino l’insieme dei partecipanti e/o i relatori senza la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raccolta dei loro consensi per la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pubblicazione. </w:t>
      </w:r>
    </w:p>
    <w:p w14:paraId="25B84921" w14:textId="7D6C32D5" w:rsidR="00DA1C9A" w:rsidRDefault="00DA1C9A" w:rsidP="00C62397">
      <w:p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Tuttavia, non sembra potersi dire lo stesso per gli eventi </w:t>
      </w:r>
      <w:r w:rsidR="002A53B5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strettamente formativi e per quelle riprese dove sia ben più agile l’identificazione delle persone fisiche, </w:t>
      </w:r>
      <w:proofErr w:type="spellStart"/>
      <w:r w:rsidR="002A53B5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poichè</w:t>
      </w:r>
      <w:proofErr w:type="spellEnd"/>
      <w:r w:rsidR="002A53B5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raffiguranti i singoli partecipanti.</w:t>
      </w:r>
    </w:p>
    <w:p w14:paraId="29DA30AF" w14:textId="77777777" w:rsidR="00B80702" w:rsidRDefault="002A53B5" w:rsidP="00C62397">
      <w:p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A tal proposito 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si ritiene opportuno offrire</w:t>
      </w:r>
      <w:r w:rsidR="00B80702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delle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indicazioni operative </w:t>
      </w:r>
      <w:r w:rsidR="00B80702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generali 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valev</w:t>
      </w:r>
      <w:r w:rsidR="00B80702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oli per ciascun evento, sia es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so formativo che istituzionale:</w:t>
      </w:r>
    </w:p>
    <w:p w14:paraId="0617143C" w14:textId="77777777" w:rsidR="00B80702" w:rsidRDefault="00B80702" w:rsidP="00C62397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 w:rsidRPr="00B80702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lastRenderedPageBreak/>
        <w:t xml:space="preserve">Pubblicare sui 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canali comunicativi immagini e video che raffigurino solo immagini di contesto degli eventi, tali da rendere difficoltosa 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l’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individuazione ed il riconosc</w:t>
      </w:r>
      <w:r w:rsidR="00C62397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imento dei singoli parte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cipanti;</w:t>
      </w:r>
    </w:p>
    <w:p w14:paraId="3E7008C1" w14:textId="4AE98CD8" w:rsidR="00B80702" w:rsidRDefault="00B80702" w:rsidP="00C62397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</w:pP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Sottoporre la liberatoria e la relativa informa</w:t>
      </w:r>
      <w:r w:rsidR="003357B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tiva,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qualora l’intenzione sia quella di riprendere singolarmente i partecipanti agli eventi o piccoli</w:t>
      </w:r>
      <w:r w:rsidR="003357B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gruppi di essi (a titolo meramente esemplificativo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vi rientrano</w:t>
      </w:r>
      <w:r w:rsidR="003357B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: le interviste </w:t>
      </w:r>
      <w:proofErr w:type="gramStart"/>
      <w:r w:rsidR="003357B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per e</w:t>
      </w:r>
      <w:proofErr w:type="gramEnd"/>
      <w:r w:rsidR="003357B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post evento e</w:t>
      </w:r>
      <w:r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 xml:space="preserve"> le schermate dei discenti du</w:t>
      </w:r>
      <w:r w:rsidR="003357BA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rante la formazione a distanza)</w:t>
      </w:r>
      <w:r w:rsidR="00BD5E18">
        <w:rPr>
          <w:rFonts w:eastAsia="Times New Roman" w:cstheme="minorHAnsi"/>
          <w:iCs/>
          <w:color w:val="111111"/>
          <w:bdr w:val="none" w:sz="0" w:space="0" w:color="auto" w:frame="1"/>
          <w:lang w:eastAsia="it-IT"/>
        </w:rPr>
        <w:t>.</w:t>
      </w:r>
    </w:p>
    <w:p w14:paraId="6B0CAE79" w14:textId="77777777" w:rsidR="00624B9E" w:rsidRPr="008C2BEA" w:rsidRDefault="00624B9E"/>
    <w:sectPr w:rsidR="00624B9E" w:rsidRPr="008C2BEA" w:rsidSect="005667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8EA"/>
    <w:multiLevelType w:val="hybridMultilevel"/>
    <w:tmpl w:val="93BE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6C28"/>
    <w:multiLevelType w:val="multilevel"/>
    <w:tmpl w:val="16AE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EA"/>
    <w:rsid w:val="001C2883"/>
    <w:rsid w:val="002A53B5"/>
    <w:rsid w:val="003357BA"/>
    <w:rsid w:val="004D49A3"/>
    <w:rsid w:val="00514B98"/>
    <w:rsid w:val="00554BA9"/>
    <w:rsid w:val="00566714"/>
    <w:rsid w:val="005874A9"/>
    <w:rsid w:val="005E0ED4"/>
    <w:rsid w:val="00624B9E"/>
    <w:rsid w:val="006F4F97"/>
    <w:rsid w:val="00762AF7"/>
    <w:rsid w:val="008C2BEA"/>
    <w:rsid w:val="00907890"/>
    <w:rsid w:val="00956D8E"/>
    <w:rsid w:val="00A31F9C"/>
    <w:rsid w:val="00B80702"/>
    <w:rsid w:val="00BD5E18"/>
    <w:rsid w:val="00C62397"/>
    <w:rsid w:val="00DA1C9A"/>
    <w:rsid w:val="00E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2AC3"/>
  <w15:chartTrackingRefBased/>
  <w15:docId w15:val="{B6C2BB18-F684-A34B-BA36-E5754B5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24B9E"/>
    <w:rPr>
      <w:i/>
      <w:iCs/>
    </w:rPr>
  </w:style>
  <w:style w:type="character" w:styleId="Enfasigrassetto">
    <w:name w:val="Strong"/>
    <w:basedOn w:val="Carpredefinitoparagrafo"/>
    <w:uiPriority w:val="22"/>
    <w:qFormat/>
    <w:rsid w:val="00B80702"/>
    <w:rPr>
      <w:b/>
      <w:bCs/>
    </w:rPr>
  </w:style>
  <w:style w:type="character" w:customStyle="1" w:styleId="apple-converted-space">
    <w:name w:val="apple-converted-space"/>
    <w:basedOn w:val="Carpredefinitoparagrafo"/>
    <w:rsid w:val="00B80702"/>
  </w:style>
  <w:style w:type="paragraph" w:styleId="Paragrafoelenco">
    <w:name w:val="List Paragraph"/>
    <w:basedOn w:val="Normale"/>
    <w:uiPriority w:val="34"/>
    <w:qFormat/>
    <w:rsid w:val="00B8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RIITANO</dc:creator>
  <cp:keywords/>
  <dc:description/>
  <cp:lastModifiedBy>Valerio Laganà</cp:lastModifiedBy>
  <cp:revision>4</cp:revision>
  <dcterms:created xsi:type="dcterms:W3CDTF">2022-02-16T16:07:00Z</dcterms:created>
  <dcterms:modified xsi:type="dcterms:W3CDTF">2022-02-16T16:54:00Z</dcterms:modified>
</cp:coreProperties>
</file>